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</w:t>
      </w:r>
      <w:r w:rsidR="00BE4858">
        <w:rPr>
          <w:rFonts w:cs="Arial"/>
          <w:sz w:val="24"/>
          <w:szCs w:val="24"/>
          <w:lang w:val="en-US" w:eastAsia="zh-CN"/>
        </w:rPr>
        <w:t>1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0E2C45">
        <w:rPr>
          <w:rFonts w:cs="Arial"/>
          <w:sz w:val="24"/>
          <w:szCs w:val="24"/>
          <w:lang w:val="en-US" w:eastAsia="zh-CN"/>
        </w:rPr>
        <w:t>5856</w:t>
      </w:r>
      <w:bookmarkStart w:id="1" w:name="_GoBack"/>
      <w:bookmarkEnd w:id="1"/>
    </w:p>
    <w:p w:rsidR="00C270DF" w:rsidRPr="00EE0D34" w:rsidRDefault="0062507B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Reno</w:t>
      </w:r>
      <w:r w:rsidR="00EE0D34">
        <w:rPr>
          <w:rFonts w:cs="Arial" w:hint="eastAsia"/>
          <w:sz w:val="24"/>
          <w:szCs w:val="24"/>
          <w:lang w:val="en-US" w:eastAsia="zh-CN"/>
        </w:rPr>
        <w:t>,</w:t>
      </w:r>
      <w:r>
        <w:rPr>
          <w:rFonts w:cs="Arial"/>
          <w:sz w:val="24"/>
          <w:szCs w:val="24"/>
          <w:lang w:val="en-US" w:eastAsia="zh-CN"/>
        </w:rPr>
        <w:t xml:space="preserve"> Nevada, USA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13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C86B35">
        <w:rPr>
          <w:rFonts w:cs="Arial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val="en-US" w:eastAsia="zh-CN"/>
        </w:rPr>
        <w:t>7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 w:rsidR="00C86B35"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May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Pr="00745C49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 w:rsidRPr="00745C49">
        <w:rPr>
          <w:sz w:val="24"/>
          <w:szCs w:val="24"/>
          <w:lang w:val="en-US" w:eastAsia="zh-CN"/>
        </w:rPr>
        <w:t>Agenda Item:</w:t>
      </w:r>
      <w:r w:rsidRPr="00745C49">
        <w:rPr>
          <w:rFonts w:hint="eastAsia"/>
          <w:sz w:val="24"/>
          <w:szCs w:val="24"/>
          <w:lang w:val="en-US" w:eastAsia="zh-CN"/>
        </w:rPr>
        <w:tab/>
      </w:r>
      <w:r w:rsidR="00DD5792" w:rsidRPr="00745C49">
        <w:rPr>
          <w:b w:val="0"/>
          <w:sz w:val="24"/>
          <w:szCs w:val="24"/>
          <w:lang w:val="en-US" w:eastAsia="zh-CN"/>
        </w:rPr>
        <w:t>6.4.2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BE4858">
        <w:rPr>
          <w:b w:val="0"/>
          <w:bCs/>
          <w:sz w:val="24"/>
          <w:szCs w:val="24"/>
          <w:lang w:val="en-US" w:eastAsia="zh-CN"/>
        </w:rPr>
        <w:t>Clarification on ULSUP FDM with single Tx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EE0D34" w:rsidRDefault="00B41E57">
      <w:pPr>
        <w:rPr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rFonts w:hint="eastAsia"/>
          <w:lang w:val="en-US" w:eastAsia="zh-CN"/>
        </w:rPr>
        <w:t xml:space="preserve">In </w:t>
      </w:r>
      <w:r w:rsidR="00C86B35">
        <w:rPr>
          <w:lang w:val="en-US" w:eastAsia="zh-CN"/>
        </w:rPr>
        <w:t>RAN4 #</w:t>
      </w:r>
      <w:r w:rsidR="00EE0D34">
        <w:rPr>
          <w:lang w:val="en-US" w:eastAsia="zh-CN"/>
        </w:rPr>
        <w:t>9</w:t>
      </w:r>
      <w:r w:rsidR="00C86B35">
        <w:rPr>
          <w:lang w:val="en-US" w:eastAsia="zh-CN"/>
        </w:rPr>
        <w:t>0</w:t>
      </w:r>
      <w:r w:rsidR="00112CFB">
        <w:rPr>
          <w:lang w:val="en-US" w:eastAsia="zh-CN"/>
        </w:rPr>
        <w:t>bis</w:t>
      </w:r>
      <w:r w:rsidR="00EE0D34">
        <w:rPr>
          <w:lang w:val="en-US" w:eastAsia="zh-CN"/>
        </w:rPr>
        <w:t>,</w:t>
      </w:r>
      <w:r w:rsidR="00112CFB">
        <w:rPr>
          <w:lang w:val="en-US" w:eastAsia="zh-CN"/>
        </w:rPr>
        <w:t xml:space="preserve"> during the discussions on two CRs related to ULSUP FDM </w:t>
      </w:r>
      <w:r w:rsidR="007B46A2">
        <w:rPr>
          <w:lang w:val="en-US" w:eastAsia="zh-CN"/>
        </w:rPr>
        <w:t>when</w:t>
      </w:r>
      <w:r w:rsidR="00112CFB">
        <w:rPr>
          <w:lang w:val="en-US" w:eastAsia="zh-CN"/>
        </w:rPr>
        <w:t xml:space="preserve"> single Tx</w:t>
      </w:r>
      <w:r w:rsidR="007B46A2">
        <w:rPr>
          <w:lang w:val="en-US" w:eastAsia="zh-CN"/>
        </w:rPr>
        <w:t xml:space="preserve"> is allowed</w:t>
      </w:r>
      <w:r w:rsidR="00112CFB">
        <w:rPr>
          <w:lang w:val="en-US" w:eastAsia="zh-CN"/>
        </w:rPr>
        <w:t>, one concern was raised on whether or not E-UTRA UL and NR SUL are allowed to be transmitted simultaneously from RAN2 perspective [1][2][3].</w:t>
      </w:r>
    </w:p>
    <w:p w:rsidR="00C270DF" w:rsidRDefault="00C86B3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C2C63">
        <w:rPr>
          <w:lang w:val="en-US" w:eastAsia="zh-CN"/>
        </w:rPr>
        <w:t xml:space="preserve">investigate the related RAN2 signaling and find that </w:t>
      </w:r>
      <w:r w:rsidR="00C47C97">
        <w:rPr>
          <w:lang w:val="en-US" w:eastAsia="zh-CN"/>
        </w:rPr>
        <w:t xml:space="preserve">in this case </w:t>
      </w:r>
      <w:r w:rsidR="000C2C63">
        <w:rPr>
          <w:lang w:val="en-US" w:eastAsia="zh-CN"/>
        </w:rPr>
        <w:t>simultaneous transmission of E-UTRA UL and NR SUL are</w:t>
      </w:r>
      <w:r w:rsidR="00063D84">
        <w:rPr>
          <w:lang w:val="en-US" w:eastAsia="zh-CN"/>
        </w:rPr>
        <w:t xml:space="preserve"> not allowed even for ULSUP FDM</w:t>
      </w:r>
      <w:r w:rsidR="000C2C63">
        <w:rPr>
          <w:lang w:val="en-US" w:eastAsia="zh-CN"/>
        </w:rPr>
        <w:t xml:space="preserve"> according to the current signaling design</w:t>
      </w:r>
      <w:r w:rsidR="00063D84">
        <w:rPr>
          <w:lang w:val="en-US" w:eastAsia="zh-CN"/>
        </w:rPr>
        <w:t>, although in RAN4 understanding it is allowed</w:t>
      </w:r>
      <w:r w:rsidR="0063451A">
        <w:rPr>
          <w:lang w:val="en-US" w:eastAsia="zh-CN"/>
        </w:rPr>
        <w:t xml:space="preserve"> instead</w:t>
      </w:r>
      <w:r w:rsidR="00EE0D34">
        <w:rPr>
          <w:lang w:val="en-US" w:eastAsia="zh-CN"/>
        </w:rPr>
        <w:t>.</w:t>
      </w:r>
    </w:p>
    <w:bookmarkEnd w:id="2"/>
    <w:bookmarkEnd w:id="3"/>
    <w:bookmarkEnd w:id="4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D06573" w:rsidRDefault="00116ADF" w:rsidP="00116ADF">
      <w:pPr>
        <w:tabs>
          <w:tab w:val="left" w:pos="900"/>
        </w:tabs>
        <w:rPr>
          <w:bCs/>
          <w:lang w:val="en-US" w:eastAsia="zh-CN"/>
        </w:rPr>
      </w:pPr>
      <w:r>
        <w:rPr>
          <w:bCs/>
          <w:lang w:val="en-US" w:eastAsia="zh-CN"/>
        </w:rPr>
        <w:t>When a UE configured with EN-DC requires single UL transmission, “tdm-PatternConfig” is setup to indicate when an E-UTRA uplink is transmitted and when an NR uplink is transmitted as shown below IE [4]:</w:t>
      </w:r>
      <w:r>
        <w:rPr>
          <w:bCs/>
          <w:lang w:val="en-US" w:eastAsia="zh-CN"/>
        </w:rPr>
        <w:tab/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>RRCConnectionReconfiguration-v1510-IEs ::= SEQUENCE {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nr-Config-r15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CHOICE {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release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setup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endc-ReleaseAndAdd-r15</w:t>
      </w:r>
      <w:r w:rsidRPr="005134A4">
        <w:tab/>
        <w:t>BOOLEAN,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nr-SecondaryCellGroupConfig-r15</w:t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p-MaxEUTRA-r15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P-Max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}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sk-Counter-r15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 65535)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nr-RadioBearerConfig1-r15</w:t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nr-RadioBearerConfig2-r15</w:t>
      </w:r>
      <w:r w:rsidRPr="005134A4">
        <w:tab/>
      </w:r>
      <w:r w:rsidRPr="005134A4">
        <w:tab/>
        <w:t>OCTET STRING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ON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745C49">
        <w:rPr>
          <w:highlight w:val="yellow"/>
        </w:rPr>
        <w:t>tdm-PatternConfig-r15</w:t>
      </w:r>
      <w:r w:rsidRPr="005134A4">
        <w:tab/>
      </w:r>
      <w:r w:rsidRPr="005134A4">
        <w:tab/>
      </w:r>
      <w:r w:rsidRPr="005134A4">
        <w:tab/>
        <w:t>CHOICE {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release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NULL,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setup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subframeAssignment-r15</w:t>
      </w:r>
      <w:r w:rsidRPr="005134A4">
        <w:tab/>
      </w:r>
      <w:r w:rsidRPr="005134A4">
        <w:tab/>
      </w:r>
      <w:r w:rsidRPr="005134A4">
        <w:tab/>
        <w:t>SubframeAssignment-r15,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  <w:t>harq-Offset-r15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(0.. 9)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</w:r>
      <w:r w:rsidRPr="005134A4">
        <w:tab/>
        <w:t>}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}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Cond FDD-PCell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ab/>
        <w:t>nonCriticalExtension</w:t>
      </w:r>
      <w:r w:rsidRPr="005134A4">
        <w:tab/>
      </w:r>
      <w:r w:rsidRPr="005134A4">
        <w:tab/>
      </w:r>
      <w:r w:rsidRPr="005134A4">
        <w:tab/>
        <w:t>RRCConnectionReconfiguration-v1530-IEs</w:t>
      </w:r>
      <w:r w:rsidRPr="005134A4">
        <w:tab/>
      </w:r>
      <w:r w:rsidRPr="005134A4">
        <w:tab/>
        <w:t>OPTIONAL</w:t>
      </w:r>
    </w:p>
    <w:p w:rsidR="00745C49" w:rsidRPr="005134A4" w:rsidRDefault="00745C49" w:rsidP="00745C49">
      <w:pPr>
        <w:pStyle w:val="PL"/>
        <w:shd w:val="clear" w:color="auto" w:fill="E6E6E6"/>
      </w:pPr>
      <w:r w:rsidRPr="005134A4">
        <w:t>}</w:t>
      </w:r>
    </w:p>
    <w:p w:rsidR="00745C49" w:rsidRDefault="00745C49" w:rsidP="00745C49">
      <w:pPr>
        <w:pStyle w:val="TAL"/>
        <w:rPr>
          <w:rFonts w:eastAsia="Malgun Gothic"/>
          <w:b/>
          <w:bCs/>
          <w:i/>
          <w:noProof/>
          <w:lang w:eastAsia="en-GB"/>
        </w:rPr>
      </w:pPr>
      <w:r>
        <w:rPr>
          <w:rFonts w:eastAsia="Malgun Gothic"/>
          <w:b/>
          <w:bCs/>
          <w:i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88265</wp:posOffset>
                </wp:positionV>
                <wp:extent cx="6130290" cy="666750"/>
                <wp:effectExtent l="0" t="0" r="2286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0290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81899" id="Rectangle 5" o:spid="_x0000_s1026" style="position:absolute;margin-left:-1.95pt;margin-top:6.95pt;width:482.7pt;height:5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" filled="f" strokecolor="#1f4d78 [1604]" strokeweight="1pt"/>
            </w:pict>
          </mc:Fallback>
        </mc:AlternateContent>
      </w:r>
    </w:p>
    <w:p w:rsidR="00745C49" w:rsidRPr="005134A4" w:rsidRDefault="00745C49" w:rsidP="00745C49">
      <w:pPr>
        <w:pStyle w:val="TAL"/>
        <w:rPr>
          <w:rFonts w:eastAsia="Malgun Gothic"/>
          <w:b/>
          <w:bCs/>
          <w:i/>
          <w:noProof/>
          <w:lang w:eastAsia="en-GB"/>
        </w:rPr>
      </w:pPr>
      <w:r w:rsidRPr="00745C49">
        <w:rPr>
          <w:rFonts w:eastAsia="Malgun Gothic"/>
          <w:b/>
          <w:bCs/>
          <w:i/>
          <w:noProof/>
          <w:highlight w:val="yellow"/>
          <w:lang w:eastAsia="en-GB"/>
        </w:rPr>
        <w:t>tdm-PatternConfig</w:t>
      </w:r>
    </w:p>
    <w:p w:rsidR="00745C49" w:rsidRDefault="00745C49" w:rsidP="00745C49">
      <w:pPr>
        <w:rPr>
          <w:bCs/>
          <w:lang w:val="en-US" w:eastAsia="zh-CN"/>
        </w:rPr>
      </w:pPr>
      <w:r w:rsidRPr="005134A4">
        <w:rPr>
          <w:rFonts w:eastAsia="Malgun Gothic"/>
          <w:lang w:eastAsia="en-GB"/>
        </w:rPr>
        <w:t xml:space="preserve">UL/DL reference configuration </w:t>
      </w:r>
      <w:r w:rsidRPr="005134A4">
        <w:rPr>
          <w:rFonts w:eastAsia="Malgun Gothic"/>
          <w:bCs/>
          <w:noProof/>
          <w:lang w:eastAsia="en-GB"/>
        </w:rPr>
        <w:t>indicating the time during which a UE configured with EN-DC is allowed to transmit. This field is used when power control or IMD issues require single UL transmission as specified in TS 38.101-3 [85] and TS 38.213 [88].</w:t>
      </w:r>
    </w:p>
    <w:p w:rsidR="00745C49" w:rsidRDefault="00745C49" w:rsidP="00410822">
      <w:pPr>
        <w:rPr>
          <w:bCs/>
          <w:lang w:val="en-US" w:eastAsia="zh-CN"/>
        </w:rPr>
      </w:pPr>
    </w:p>
    <w:p w:rsidR="003B6D4C" w:rsidRDefault="00116ADF" w:rsidP="00410822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And this is also reflected in another IE </w:t>
      </w:r>
      <w:r w:rsidRPr="00116ADF">
        <w:rPr>
          <w:bCs/>
          <w:i/>
          <w:lang w:val="en-US" w:eastAsia="zh-CN"/>
        </w:rPr>
        <w:t>MRDC-Parameters</w:t>
      </w:r>
      <w:r>
        <w:rPr>
          <w:bCs/>
          <w:lang w:val="en-US" w:eastAsia="zh-CN"/>
        </w:rPr>
        <w:t xml:space="preserve"> shown below [5]:</w:t>
      </w:r>
    </w:p>
    <w:p w:rsidR="003B6D4C" w:rsidRDefault="003B6D4C" w:rsidP="00410822">
      <w:pPr>
        <w:rPr>
          <w:bCs/>
          <w:lang w:val="en-US" w:eastAsia="zh-CN"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>
            <wp:extent cx="6120765" cy="1132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8133_mrdc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D4C" w:rsidRDefault="00B60BB9" w:rsidP="00410822">
      <w:pPr>
        <w:rPr>
          <w:bCs/>
          <w:lang w:val="en-US" w:eastAsia="zh-CN"/>
        </w:rPr>
      </w:pPr>
      <w:r>
        <w:rPr>
          <w:bCs/>
          <w:noProof/>
          <w:lang w:val="en-US" w:eastAsia="zh-CN"/>
        </w:rPr>
        <w:drawing>
          <wp:inline distT="0" distB="0" distL="0" distR="0">
            <wp:extent cx="6120765" cy="2008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8133_mrdc_note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243" w:rsidRPr="00305C3D" w:rsidRDefault="00305C3D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Therefore, i</w:t>
      </w:r>
      <w:r w:rsidR="00CE4243">
        <w:rPr>
          <w:bCs/>
          <w:lang w:val="en-US" w:eastAsia="zh-CN"/>
        </w:rPr>
        <w:t xml:space="preserve">n the case when single uplink transmission is required and ULSUP is performed via FDM, i.e., E-UTRA uplink is FDMed with the NR SUL, </w:t>
      </w:r>
      <w:r>
        <w:rPr>
          <w:bCs/>
          <w:lang w:val="en-US" w:eastAsia="zh-CN"/>
        </w:rPr>
        <w:t>the E-UTRA uplink cannot be transmitted simultaneously with the NR SUL from RAN2 perspective, although there is no issue to do so in RAN4’s understanding.</w:t>
      </w:r>
    </w:p>
    <w:p w:rsidR="00AE5F4C" w:rsidRPr="00AE5F4C" w:rsidRDefault="00305C3D" w:rsidP="00524F01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1: I</w:t>
      </w:r>
      <w:r w:rsidRPr="00305C3D">
        <w:rPr>
          <w:b/>
          <w:bCs/>
          <w:lang w:val="en-US" w:eastAsia="zh-CN"/>
        </w:rPr>
        <w:t>n the case when single uplink transmission is required and ULSUP is performed via FDM, i.e., E-UTRA uplink is FDMed with the NR SUL, the E-UTRA uplink cannot be transmitted simultaneously with the NR SUL from RAN2 perspective, although there is no issue to do so in RAN4’s understanding.</w:t>
      </w:r>
    </w:p>
    <w:p w:rsidR="00305C3D" w:rsidRPr="00305C3D" w:rsidRDefault="00305C3D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With this observation, the current RAN4 spec need to clarify explicitly at this point in order to avoid confusion, and a possible simple way is to add one note to the SUL band combination table in TS 38.101-3.</w:t>
      </w:r>
    </w:p>
    <w:p w:rsidR="00850BB9" w:rsidRPr="00305C3D" w:rsidRDefault="00E83B9B" w:rsidP="00524F01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</w:t>
      </w:r>
      <w:r w:rsidR="00305C3D">
        <w:rPr>
          <w:b/>
          <w:bCs/>
          <w:lang w:val="en-US" w:eastAsia="zh-CN"/>
        </w:rPr>
        <w:t>Add one note</w:t>
      </w:r>
      <w:r w:rsidR="00F127B6">
        <w:rPr>
          <w:b/>
          <w:bCs/>
          <w:lang w:val="en-US" w:eastAsia="zh-CN"/>
        </w:rPr>
        <w:t xml:space="preserve"> to the SUL band combination </w:t>
      </w:r>
      <w:r w:rsidR="00BB3821">
        <w:rPr>
          <w:b/>
          <w:bCs/>
          <w:lang w:val="en-US" w:eastAsia="zh-CN"/>
        </w:rPr>
        <w:t xml:space="preserve">table in TS 38.101-3, </w:t>
      </w:r>
      <w:r w:rsidR="005B4B08">
        <w:rPr>
          <w:b/>
          <w:bCs/>
          <w:lang w:val="en-US" w:eastAsia="zh-CN"/>
        </w:rPr>
        <w:t>clarify</w:t>
      </w:r>
      <w:r w:rsidR="00BB3821">
        <w:rPr>
          <w:b/>
          <w:bCs/>
          <w:lang w:val="en-US" w:eastAsia="zh-CN"/>
        </w:rPr>
        <w:t>ing</w:t>
      </w:r>
      <w:r w:rsidR="005B4B08">
        <w:rPr>
          <w:b/>
          <w:bCs/>
          <w:lang w:val="en-US" w:eastAsia="zh-CN"/>
        </w:rPr>
        <w:t xml:space="preserve"> that even in ULSUP FDM mode, for the band combinations allowing single Tx, E-UTRA UL and NR SUL are not allowed to be transmitted simultaneously</w:t>
      </w:r>
      <w:r w:rsidR="002444EF">
        <w:rPr>
          <w:b/>
          <w:bCs/>
          <w:lang w:val="en-US" w:eastAsia="zh-CN"/>
        </w:rPr>
        <w:t>.</w:t>
      </w:r>
    </w:p>
    <w:p w:rsidR="00C270DF" w:rsidRPr="002A10BE" w:rsidRDefault="002A10BE" w:rsidP="002A10BE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 w:rsidRPr="002A10BE">
        <w:rPr>
          <w:b/>
          <w:sz w:val="28"/>
          <w:szCs w:val="24"/>
          <w:lang w:eastAsia="zh-CN"/>
        </w:rPr>
        <w:t>Conclusion</w:t>
      </w:r>
    </w:p>
    <w:p w:rsidR="002A10BE" w:rsidRPr="00F60511" w:rsidRDefault="00F60511">
      <w:pPr>
        <w:rPr>
          <w:bCs/>
          <w:lang w:val="en-US" w:eastAsia="zh-CN"/>
        </w:rPr>
      </w:pPr>
      <w:r w:rsidRPr="00F60511">
        <w:rPr>
          <w:bCs/>
          <w:lang w:val="en-US" w:eastAsia="zh-CN"/>
        </w:rPr>
        <w:t xml:space="preserve">In this contribution, </w:t>
      </w:r>
      <w:r>
        <w:rPr>
          <w:bCs/>
          <w:lang w:val="en-US" w:eastAsia="zh-CN"/>
        </w:rPr>
        <w:t>we</w:t>
      </w:r>
      <w:r w:rsidR="002444EF">
        <w:rPr>
          <w:bCs/>
          <w:lang w:val="en-US" w:eastAsia="zh-CN"/>
        </w:rPr>
        <w:t xml:space="preserve"> have the following observation</w:t>
      </w:r>
      <w:r>
        <w:rPr>
          <w:bCs/>
          <w:lang w:val="en-US" w:eastAsia="zh-CN"/>
        </w:rPr>
        <w:t xml:space="preserve"> an</w:t>
      </w:r>
      <w:r w:rsidR="001D2A08">
        <w:rPr>
          <w:bCs/>
          <w:lang w:val="en-US" w:eastAsia="zh-CN"/>
        </w:rPr>
        <w:t xml:space="preserve">d proposal for </w:t>
      </w:r>
      <w:r w:rsidR="00410822">
        <w:rPr>
          <w:bCs/>
          <w:lang w:val="en-US" w:eastAsia="zh-CN"/>
        </w:rPr>
        <w:t xml:space="preserve">ULSUP </w:t>
      </w:r>
      <w:r w:rsidR="002444EF">
        <w:rPr>
          <w:bCs/>
          <w:lang w:val="en-US" w:eastAsia="zh-CN"/>
        </w:rPr>
        <w:t xml:space="preserve">FDM </w:t>
      </w:r>
      <w:r w:rsidR="00410822">
        <w:rPr>
          <w:bCs/>
          <w:lang w:val="en-US" w:eastAsia="zh-CN"/>
        </w:rPr>
        <w:t>when single Tx is allowed</w:t>
      </w:r>
      <w:r w:rsidR="001D2A08">
        <w:rPr>
          <w:bCs/>
          <w:lang w:val="en-US" w:eastAsia="zh-CN"/>
        </w:rPr>
        <w:t>:</w:t>
      </w:r>
    </w:p>
    <w:p w:rsidR="00F60511" w:rsidRDefault="002444EF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1: I</w:t>
      </w:r>
      <w:r w:rsidRPr="00305C3D">
        <w:rPr>
          <w:b/>
          <w:bCs/>
          <w:lang w:val="en-US" w:eastAsia="zh-CN"/>
        </w:rPr>
        <w:t>n the case when single uplink transmission is required and ULSUP is performed via FDM, i.e., E-UTRA uplink is FDMed with the NR SUL, the E-UTRA uplink cannot be transmitted simultaneously with the NR SUL from RAN2 perspective, although there is no issue to do so in RAN4’s understanding.</w:t>
      </w:r>
    </w:p>
    <w:p w:rsidR="002444EF" w:rsidRDefault="002444EF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</w:t>
      </w:r>
      <w:r>
        <w:rPr>
          <w:b/>
          <w:bCs/>
          <w:lang w:val="en-US" w:eastAsia="zh-CN"/>
        </w:rPr>
        <w:t>Add one note to the SUL band combination table in TS 38.101-3, clarifying that even in ULSUP FDM mode, for the band combinations allowing single Tx, E-UTRA UL and NR SUL are not allowed to be transmitted simultaneously.</w:t>
      </w: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10179D">
        <w:rPr>
          <w:lang w:eastAsia="zh-CN"/>
        </w:rPr>
        <w:t>Chairman notes for RAN4#90bis</w:t>
      </w:r>
    </w:p>
    <w:p w:rsidR="00A8547F" w:rsidRDefault="00A8547F" w:rsidP="00F65304">
      <w:pPr>
        <w:rPr>
          <w:lang w:eastAsia="zh-CN"/>
        </w:rPr>
      </w:pPr>
      <w:r>
        <w:rPr>
          <w:lang w:eastAsia="zh-CN"/>
        </w:rPr>
        <w:t xml:space="preserve">[2] </w:t>
      </w:r>
      <w:r w:rsidR="0010179D" w:rsidRPr="0010179D">
        <w:rPr>
          <w:lang w:eastAsia="zh-CN"/>
        </w:rPr>
        <w:t>R4-1905135</w:t>
      </w:r>
      <w:r w:rsidR="0010179D" w:rsidRPr="0010179D">
        <w:rPr>
          <w:lang w:eastAsia="zh-CN"/>
        </w:rPr>
        <w:tab/>
        <w:t>Draft CR on SUL band combinations to TS 38.101-3, Huawei</w:t>
      </w:r>
    </w:p>
    <w:p w:rsidR="0010179D" w:rsidRDefault="0010179D" w:rsidP="00F65304">
      <w:pPr>
        <w:rPr>
          <w:lang w:eastAsia="zh-CN"/>
        </w:rPr>
      </w:pPr>
      <w:r>
        <w:rPr>
          <w:lang w:eastAsia="zh-CN"/>
        </w:rPr>
        <w:t xml:space="preserve">[3] </w:t>
      </w:r>
      <w:r w:rsidRPr="0010179D">
        <w:rPr>
          <w:lang w:eastAsia="zh-CN"/>
        </w:rPr>
        <w:t>R4-1904320</w:t>
      </w:r>
      <w:r w:rsidRPr="0010179D">
        <w:rPr>
          <w:lang w:eastAsia="zh-CN"/>
        </w:rPr>
        <w:tab/>
        <w:t>draft CR to 38.101-3: ULSUP-TDM related clarifications, Nokia</w:t>
      </w:r>
    </w:p>
    <w:p w:rsidR="00A26312" w:rsidRDefault="00A26312" w:rsidP="00F65304">
      <w:pPr>
        <w:rPr>
          <w:lang w:eastAsia="zh-CN"/>
        </w:rPr>
      </w:pPr>
      <w:r>
        <w:rPr>
          <w:lang w:eastAsia="zh-CN"/>
        </w:rPr>
        <w:t>[4] TS 36.331 v15</w:t>
      </w:r>
    </w:p>
    <w:p w:rsidR="00A26312" w:rsidRDefault="00A26312" w:rsidP="00F65304">
      <w:pPr>
        <w:rPr>
          <w:lang w:val="en-US" w:eastAsia="zh-CN"/>
        </w:rPr>
      </w:pPr>
      <w:r>
        <w:rPr>
          <w:lang w:eastAsia="zh-CN"/>
        </w:rPr>
        <w:t>[5] TS 38.331 v15.5.0</w:t>
      </w:r>
    </w:p>
    <w:sectPr w:rsidR="00A2631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EA5" w:rsidRDefault="000B6EA5">
      <w:pPr>
        <w:spacing w:after="0"/>
      </w:pPr>
      <w:r>
        <w:separator/>
      </w:r>
    </w:p>
  </w:endnote>
  <w:endnote w:type="continuationSeparator" w:id="0">
    <w:p w:rsidR="000B6EA5" w:rsidRDefault="000B6E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EA5" w:rsidRDefault="000B6EA5">
      <w:pPr>
        <w:spacing w:after="0"/>
      </w:pPr>
      <w:r>
        <w:separator/>
      </w:r>
    </w:p>
  </w:footnote>
  <w:footnote w:type="continuationSeparator" w:id="0">
    <w:p w:rsidR="000B6EA5" w:rsidRDefault="000B6E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92CF1"/>
    <w:multiLevelType w:val="hybridMultilevel"/>
    <w:tmpl w:val="A0F43246"/>
    <w:lvl w:ilvl="0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A82FF6"/>
    <w:multiLevelType w:val="hybridMultilevel"/>
    <w:tmpl w:val="3E6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19E"/>
    <w:multiLevelType w:val="hybridMultilevel"/>
    <w:tmpl w:val="933E29F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32B"/>
    <w:rsid w:val="000111E6"/>
    <w:rsid w:val="00012418"/>
    <w:rsid w:val="00022E4A"/>
    <w:rsid w:val="00023485"/>
    <w:rsid w:val="000252F1"/>
    <w:rsid w:val="000554E8"/>
    <w:rsid w:val="00063D84"/>
    <w:rsid w:val="000643C1"/>
    <w:rsid w:val="0006594E"/>
    <w:rsid w:val="000723CA"/>
    <w:rsid w:val="0007529D"/>
    <w:rsid w:val="00097BE0"/>
    <w:rsid w:val="000A6394"/>
    <w:rsid w:val="000B6EA5"/>
    <w:rsid w:val="000C038A"/>
    <w:rsid w:val="000C2049"/>
    <w:rsid w:val="000C2C63"/>
    <w:rsid w:val="000C6598"/>
    <w:rsid w:val="000E2C45"/>
    <w:rsid w:val="000E7950"/>
    <w:rsid w:val="000F2FD0"/>
    <w:rsid w:val="0010179D"/>
    <w:rsid w:val="00106A93"/>
    <w:rsid w:val="00107586"/>
    <w:rsid w:val="00112CFB"/>
    <w:rsid w:val="00116ADF"/>
    <w:rsid w:val="00143179"/>
    <w:rsid w:val="00145D43"/>
    <w:rsid w:val="00150115"/>
    <w:rsid w:val="00166473"/>
    <w:rsid w:val="00171ED1"/>
    <w:rsid w:val="00172A27"/>
    <w:rsid w:val="00190EB0"/>
    <w:rsid w:val="00192C46"/>
    <w:rsid w:val="00195F02"/>
    <w:rsid w:val="001A4647"/>
    <w:rsid w:val="001A7B60"/>
    <w:rsid w:val="001B7A65"/>
    <w:rsid w:val="001D2A08"/>
    <w:rsid w:val="001E41F3"/>
    <w:rsid w:val="001F5ACB"/>
    <w:rsid w:val="00213B82"/>
    <w:rsid w:val="00224B3B"/>
    <w:rsid w:val="00226851"/>
    <w:rsid w:val="002444EF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A10BE"/>
    <w:rsid w:val="002B5741"/>
    <w:rsid w:val="002D1445"/>
    <w:rsid w:val="002E7E69"/>
    <w:rsid w:val="00301D4A"/>
    <w:rsid w:val="00305409"/>
    <w:rsid w:val="00305C3D"/>
    <w:rsid w:val="00325507"/>
    <w:rsid w:val="00333122"/>
    <w:rsid w:val="003505ED"/>
    <w:rsid w:val="00365064"/>
    <w:rsid w:val="003A1119"/>
    <w:rsid w:val="003A6E0C"/>
    <w:rsid w:val="003B55D8"/>
    <w:rsid w:val="003B6D4C"/>
    <w:rsid w:val="003D34D6"/>
    <w:rsid w:val="003E1A36"/>
    <w:rsid w:val="003E577A"/>
    <w:rsid w:val="003F1AFD"/>
    <w:rsid w:val="003F292A"/>
    <w:rsid w:val="004036FD"/>
    <w:rsid w:val="00410822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9542D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B4B08"/>
    <w:rsid w:val="005E2C44"/>
    <w:rsid w:val="005E6B00"/>
    <w:rsid w:val="005F3402"/>
    <w:rsid w:val="00601F80"/>
    <w:rsid w:val="00620242"/>
    <w:rsid w:val="00621188"/>
    <w:rsid w:val="0062507B"/>
    <w:rsid w:val="006257ED"/>
    <w:rsid w:val="0063451A"/>
    <w:rsid w:val="00635D2D"/>
    <w:rsid w:val="006373EA"/>
    <w:rsid w:val="006459E2"/>
    <w:rsid w:val="00646C14"/>
    <w:rsid w:val="00654E37"/>
    <w:rsid w:val="006771EA"/>
    <w:rsid w:val="00683E1C"/>
    <w:rsid w:val="00695808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45C49"/>
    <w:rsid w:val="00762DBA"/>
    <w:rsid w:val="00792342"/>
    <w:rsid w:val="00796735"/>
    <w:rsid w:val="007A7819"/>
    <w:rsid w:val="007B1444"/>
    <w:rsid w:val="007B46A2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0BB9"/>
    <w:rsid w:val="00851C29"/>
    <w:rsid w:val="00854B6F"/>
    <w:rsid w:val="0085623B"/>
    <w:rsid w:val="008626E7"/>
    <w:rsid w:val="00870EE7"/>
    <w:rsid w:val="0087278D"/>
    <w:rsid w:val="00880F72"/>
    <w:rsid w:val="008A079F"/>
    <w:rsid w:val="008B3652"/>
    <w:rsid w:val="008C710E"/>
    <w:rsid w:val="008D05E5"/>
    <w:rsid w:val="008F3FEB"/>
    <w:rsid w:val="008F686C"/>
    <w:rsid w:val="00905B81"/>
    <w:rsid w:val="009122BB"/>
    <w:rsid w:val="00914FAA"/>
    <w:rsid w:val="009209A0"/>
    <w:rsid w:val="00931227"/>
    <w:rsid w:val="0093180F"/>
    <w:rsid w:val="009411C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4A2A"/>
    <w:rsid w:val="009F734F"/>
    <w:rsid w:val="00A03A2F"/>
    <w:rsid w:val="00A0600A"/>
    <w:rsid w:val="00A246B6"/>
    <w:rsid w:val="00A26312"/>
    <w:rsid w:val="00A47E70"/>
    <w:rsid w:val="00A5121D"/>
    <w:rsid w:val="00A532BD"/>
    <w:rsid w:val="00A53D3E"/>
    <w:rsid w:val="00A57DBD"/>
    <w:rsid w:val="00A62367"/>
    <w:rsid w:val="00A7671C"/>
    <w:rsid w:val="00A80BDE"/>
    <w:rsid w:val="00A8547F"/>
    <w:rsid w:val="00A868A6"/>
    <w:rsid w:val="00A90492"/>
    <w:rsid w:val="00AD1CD8"/>
    <w:rsid w:val="00AE5F4C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0BB9"/>
    <w:rsid w:val="00B67B97"/>
    <w:rsid w:val="00B733BD"/>
    <w:rsid w:val="00B9031A"/>
    <w:rsid w:val="00B907FF"/>
    <w:rsid w:val="00B968C8"/>
    <w:rsid w:val="00BA11E6"/>
    <w:rsid w:val="00BA3EC5"/>
    <w:rsid w:val="00BB3821"/>
    <w:rsid w:val="00BB5DFC"/>
    <w:rsid w:val="00BC544B"/>
    <w:rsid w:val="00BD279D"/>
    <w:rsid w:val="00BD6BB8"/>
    <w:rsid w:val="00BE4858"/>
    <w:rsid w:val="00C270DF"/>
    <w:rsid w:val="00C32174"/>
    <w:rsid w:val="00C32C1A"/>
    <w:rsid w:val="00C47C97"/>
    <w:rsid w:val="00C50636"/>
    <w:rsid w:val="00C82AB0"/>
    <w:rsid w:val="00C86B35"/>
    <w:rsid w:val="00C9439A"/>
    <w:rsid w:val="00C95985"/>
    <w:rsid w:val="00CC5026"/>
    <w:rsid w:val="00CD2C94"/>
    <w:rsid w:val="00CE4243"/>
    <w:rsid w:val="00CE47C2"/>
    <w:rsid w:val="00D03F9A"/>
    <w:rsid w:val="00D06573"/>
    <w:rsid w:val="00D12694"/>
    <w:rsid w:val="00D23605"/>
    <w:rsid w:val="00D32A5D"/>
    <w:rsid w:val="00D41CE5"/>
    <w:rsid w:val="00D43D51"/>
    <w:rsid w:val="00D51FF6"/>
    <w:rsid w:val="00D90AFB"/>
    <w:rsid w:val="00DA567A"/>
    <w:rsid w:val="00DD5792"/>
    <w:rsid w:val="00DE34CF"/>
    <w:rsid w:val="00E130C4"/>
    <w:rsid w:val="00E2385A"/>
    <w:rsid w:val="00E43C30"/>
    <w:rsid w:val="00E469F0"/>
    <w:rsid w:val="00E47C93"/>
    <w:rsid w:val="00E5507B"/>
    <w:rsid w:val="00E603EB"/>
    <w:rsid w:val="00E61B14"/>
    <w:rsid w:val="00E62E65"/>
    <w:rsid w:val="00E710A7"/>
    <w:rsid w:val="00E83B9B"/>
    <w:rsid w:val="00E9727E"/>
    <w:rsid w:val="00EC6D7D"/>
    <w:rsid w:val="00EE0D34"/>
    <w:rsid w:val="00EE7D7C"/>
    <w:rsid w:val="00EF23BB"/>
    <w:rsid w:val="00EF739E"/>
    <w:rsid w:val="00F07F39"/>
    <w:rsid w:val="00F127B6"/>
    <w:rsid w:val="00F13466"/>
    <w:rsid w:val="00F2566D"/>
    <w:rsid w:val="00F25D98"/>
    <w:rsid w:val="00F300FB"/>
    <w:rsid w:val="00F60511"/>
    <w:rsid w:val="00F61C93"/>
    <w:rsid w:val="00F62A9A"/>
    <w:rsid w:val="00F65304"/>
    <w:rsid w:val="00F862B6"/>
    <w:rsid w:val="00F936A2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99"/>
    <w:qFormat/>
    <w:rsid w:val="002A10BE"/>
    <w:pPr>
      <w:ind w:left="720"/>
      <w:contextualSpacing/>
    </w:pPr>
  </w:style>
  <w:style w:type="character" w:customStyle="1" w:styleId="PLChar">
    <w:name w:val="PL Char"/>
    <w:link w:val="PL"/>
    <w:qFormat/>
    <w:rsid w:val="00745C49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65EFE-6253-47D7-ACD3-4E39F474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45</cp:revision>
  <dcterms:created xsi:type="dcterms:W3CDTF">2019-03-25T10:13:00Z</dcterms:created>
  <dcterms:modified xsi:type="dcterms:W3CDTF">2019-05-02T12:24:00Z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